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7671" w14:textId="3E8BF989" w:rsidR="00856656" w:rsidRPr="00876776" w:rsidRDefault="00856656" w:rsidP="00856656">
      <w:pPr>
        <w:pStyle w:val="ConsNormal"/>
        <w:widowControl/>
        <w:suppressAutoHyphens/>
        <w:ind w:firstLine="709"/>
        <w:jc w:val="both"/>
      </w:pPr>
      <w:r w:rsidRPr="006048E8">
        <w:t xml:space="preserve">Для получения </w:t>
      </w:r>
      <w:r w:rsidR="00FC6F00">
        <w:t>микро</w:t>
      </w:r>
      <w:r w:rsidRPr="006048E8">
        <w:t>кредита Кредитополучатель предоставляет следующий пакет документов</w:t>
      </w:r>
      <w:r>
        <w:t>:</w:t>
      </w:r>
    </w:p>
    <w:p w14:paraId="4041A1B8" w14:textId="2A55D76A" w:rsidR="00856656" w:rsidRPr="001A4EE0" w:rsidRDefault="00856656" w:rsidP="00856656">
      <w:pPr>
        <w:pStyle w:val="ConsNormal"/>
        <w:widowControl/>
        <w:suppressAutoHyphens/>
        <w:ind w:firstLine="709"/>
        <w:jc w:val="both"/>
      </w:pPr>
      <w:r w:rsidRPr="006048E8">
        <w:t>1.</w:t>
      </w:r>
      <w:r w:rsidRPr="006048E8">
        <w:t> </w:t>
      </w:r>
      <w:r>
        <w:t>заявление</w:t>
      </w:r>
      <w:r w:rsidRPr="006048E8">
        <w:t>-анкета (форма Банка</w:t>
      </w:r>
      <w:r w:rsidR="00305024">
        <w:t>)</w:t>
      </w:r>
      <w:r w:rsidR="001A4EE0">
        <w:t>;</w:t>
      </w:r>
    </w:p>
    <w:p w14:paraId="30E5F36D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 w:rsidRPr="006048E8">
        <w:t>2.</w:t>
      </w:r>
      <w:r w:rsidRPr="006048E8">
        <w:t> </w:t>
      </w:r>
      <w:r w:rsidRPr="006048E8">
        <w:t xml:space="preserve">копия </w:t>
      </w:r>
      <w:r>
        <w:t>с</w:t>
      </w:r>
      <w:r w:rsidRPr="006048E8">
        <w:t xml:space="preserve">видетельства о регистрации; </w:t>
      </w:r>
    </w:p>
    <w:p w14:paraId="00B85F70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3</w:t>
      </w:r>
      <w:r w:rsidRPr="006048E8">
        <w:t>.</w:t>
      </w:r>
      <w:r w:rsidRPr="006048E8">
        <w:t> </w:t>
      </w:r>
      <w:r w:rsidRPr="006048E8">
        <w:t>копия Устава с актуальными изменениями и дополнениями;</w:t>
      </w:r>
    </w:p>
    <w:p w14:paraId="3C320010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4</w:t>
      </w:r>
      <w:r w:rsidRPr="006048E8">
        <w:t>.</w:t>
      </w:r>
      <w:r w:rsidRPr="006048E8">
        <w:t> </w:t>
      </w:r>
      <w:r w:rsidRPr="006048E8">
        <w:t>копия решения уполномоченного органа управления о назначении руководителя;</w:t>
      </w:r>
    </w:p>
    <w:p w14:paraId="65393E61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5</w:t>
      </w:r>
      <w:r w:rsidRPr="006048E8">
        <w:t>.</w:t>
      </w:r>
      <w:r w:rsidRPr="006048E8">
        <w:t> </w:t>
      </w:r>
      <w:r w:rsidRPr="006048E8">
        <w:t>копия контракта с руководителем. Копия контракта может не представляться, если руководитель унитарного предприятия одновременно является его учредителем</w:t>
      </w:r>
      <w:r>
        <w:t>;</w:t>
      </w:r>
      <w:r w:rsidRPr="006048E8">
        <w:t xml:space="preserve"> </w:t>
      </w:r>
    </w:p>
    <w:p w14:paraId="601AE900" w14:textId="4927767A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6</w:t>
      </w:r>
      <w:r w:rsidRPr="006048E8">
        <w:t>.</w:t>
      </w:r>
      <w:r w:rsidRPr="006048E8">
        <w:t> </w:t>
      </w:r>
      <w:r w:rsidRPr="006048E8">
        <w:t>копии паспортов руководителя, главного бухгалтера</w:t>
      </w:r>
      <w:r w:rsidR="004B1D6A">
        <w:t xml:space="preserve"> и</w:t>
      </w:r>
      <w:r w:rsidRPr="006048E8">
        <w:t xml:space="preserve"> учредителей</w:t>
      </w:r>
      <w:r>
        <w:t xml:space="preserve"> со </w:t>
      </w:r>
      <w:r w:rsidRPr="006048E8">
        <w:t>страниц</w:t>
      </w:r>
      <w:r>
        <w:t>ами</w:t>
      </w:r>
      <w:r w:rsidRPr="006048E8">
        <w:t>, где находятся фотография, реквизиты документа на русском языке (Ф.И.О., дата и место рождения, кем и когда выдан документ, срок действия, данные о регистрации);</w:t>
      </w:r>
    </w:p>
    <w:p w14:paraId="03699612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7</w:t>
      </w:r>
      <w:r w:rsidRPr="006048E8">
        <w:t>.</w:t>
      </w:r>
      <w:r w:rsidRPr="006048E8">
        <w:t> </w:t>
      </w:r>
      <w:r w:rsidRPr="006048E8">
        <w:t>копия лицензий на лицензируемые виды деятельности, осуществление которых предполагается в связи с реализацией кредитуемого проекта;</w:t>
      </w:r>
    </w:p>
    <w:p w14:paraId="04AEE7B1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8</w:t>
      </w:r>
      <w:r w:rsidRPr="006048E8">
        <w:t>.</w:t>
      </w:r>
      <w:r w:rsidRPr="006048E8">
        <w:t> </w:t>
      </w:r>
      <w:r w:rsidRPr="006048E8">
        <w:t xml:space="preserve">копия решения учредителей юридического лица о совершении кредитной сделки с </w:t>
      </w:r>
      <w:r>
        <w:t>Б</w:t>
      </w:r>
      <w:r w:rsidRPr="006048E8">
        <w:t>анком</w:t>
      </w:r>
      <w:r>
        <w:t xml:space="preserve"> (может предоставляться после положительного решения Банка о выдаче кредита до подписания кредитного договора);</w:t>
      </w:r>
    </w:p>
    <w:p w14:paraId="44FB18CA" w14:textId="77777777" w:rsidR="00856656" w:rsidRPr="00183E9B" w:rsidRDefault="00856656" w:rsidP="00856656">
      <w:pPr>
        <w:pStyle w:val="ConsNormal"/>
        <w:widowControl/>
        <w:suppressAutoHyphens/>
        <w:ind w:firstLine="709"/>
        <w:jc w:val="both"/>
      </w:pPr>
      <w:r w:rsidRPr="00183E9B">
        <w:t>9.</w:t>
      </w:r>
      <w:r w:rsidRPr="00183E9B">
        <w:t> </w:t>
      </w:r>
      <w:r>
        <w:t>пакет</w:t>
      </w:r>
      <w:r w:rsidRPr="00183E9B">
        <w:t xml:space="preserve"> документов для оценки финансового состояния Кредитополучателя:</w:t>
      </w:r>
    </w:p>
    <w:p w14:paraId="6FF2CCA8" w14:textId="77777777" w:rsidR="00856656" w:rsidRPr="00183E9B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 w:rsidRPr="00183E9B">
        <w:t>9.1.</w:t>
      </w:r>
      <w:r w:rsidRPr="00183E9B">
        <w:t> </w:t>
      </w:r>
      <w:r w:rsidRPr="00183E9B">
        <w:t>для Кредитополучателей, ведущих бухгалтерский учет в соответствии с законодательством:</w:t>
      </w:r>
    </w:p>
    <w:p w14:paraId="50A2299D" w14:textId="77777777" w:rsidR="00856656" w:rsidRPr="00183E9B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 w:rsidRPr="00183E9B">
        <w:t>квартальная бухгалтерская отчетность (за последний отчетный квартал):</w:t>
      </w:r>
    </w:p>
    <w:p w14:paraId="78234B1E" w14:textId="77777777" w:rsidR="00856656" w:rsidRPr="00183E9B" w:rsidRDefault="00856656" w:rsidP="0085665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</w:t>
      </w:r>
      <w:r w:rsidRPr="00183E9B">
        <w:rPr>
          <w:sz w:val="28"/>
          <w:szCs w:val="28"/>
        </w:rPr>
        <w:t xml:space="preserve"> баланс;</w:t>
      </w:r>
    </w:p>
    <w:p w14:paraId="7D05AAFE" w14:textId="77777777" w:rsidR="00856656" w:rsidRPr="00183E9B" w:rsidRDefault="00856656" w:rsidP="0085665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отчёт</w:t>
      </w:r>
      <w:r w:rsidRPr="00183E9B">
        <w:rPr>
          <w:sz w:val="28"/>
          <w:szCs w:val="28"/>
        </w:rPr>
        <w:t xml:space="preserve"> о прибылях и убытках.</w:t>
      </w:r>
    </w:p>
    <w:p w14:paraId="5D7DBE18" w14:textId="77777777" w:rsidR="00856656" w:rsidRPr="00183E9B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 w:rsidRPr="00183E9B">
        <w:t>Кроме бухгалтерской отчетности Кредитополучатель представляет:</w:t>
      </w:r>
    </w:p>
    <w:p w14:paraId="3BF2873F" w14:textId="34A37508" w:rsidR="00856656" w:rsidRPr="00183E9B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 w:rsidRPr="00183E9B">
        <w:t>расшифровку дебиторской и кредиторской задолженности, расшифровку статей баланса «Краткосрочные кредиты и займы», «Долгосрочные кредиты и займы», «Прочие долгосрочные обязательства»</w:t>
      </w:r>
      <w:r>
        <w:t>;</w:t>
      </w:r>
    </w:p>
    <w:p w14:paraId="623B3E45" w14:textId="77777777" w:rsidR="00856656" w:rsidRPr="006048E8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 w:rsidRPr="00183E9B">
        <w:t>9.2.</w:t>
      </w:r>
      <w:r w:rsidRPr="00183E9B">
        <w:t> </w:t>
      </w:r>
      <w:r w:rsidRPr="00183E9B">
        <w:t>для Кредитополучателей, освобожденных от обязанности ведения бухгалтерского учета и составления отчетности в соответствии с законодательными актами, местных исполнительных и распорядительных органов:</w:t>
      </w:r>
      <w:r w:rsidRPr="006048E8">
        <w:t xml:space="preserve"> </w:t>
      </w:r>
    </w:p>
    <w:p w14:paraId="15D0DAB9" w14:textId="77777777" w:rsidR="00856656" w:rsidRPr="006048E8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>
        <w:t>книга</w:t>
      </w:r>
      <w:r w:rsidRPr="006048E8">
        <w:t xml:space="preserve"> учета доходов и расходов по состоянию на последнюю отчетную квартальную дату;</w:t>
      </w:r>
    </w:p>
    <w:p w14:paraId="0863B624" w14:textId="77777777" w:rsidR="00856656" w:rsidRPr="000875A6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>
        <w:t>налоговые</w:t>
      </w:r>
      <w:r w:rsidRPr="006048E8">
        <w:t xml:space="preserve"> декларации, а также документы, подтверждающие уплату налога за последний отчетный квартал</w:t>
      </w:r>
      <w:r>
        <w:t>.</w:t>
      </w:r>
    </w:p>
    <w:p w14:paraId="744F28C4" w14:textId="77777777" w:rsidR="00856656" w:rsidRPr="006048E8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 w:rsidRPr="006048E8">
        <w:t>Кроме бухгалтерской отчетности Кредитополучатель представляет:</w:t>
      </w:r>
    </w:p>
    <w:p w14:paraId="1BDBCF0E" w14:textId="507ED8AC" w:rsidR="00856656" w:rsidRPr="006048E8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 w:rsidRPr="006048E8">
        <w:t>расшифровки краткосрочных и долгосрочных кредитов и займов, иных обязательств, справки о наличии просроченной дебиторской и кредиторской задолженности, расчет величины активов</w:t>
      </w:r>
      <w:r>
        <w:t>;</w:t>
      </w:r>
    </w:p>
    <w:p w14:paraId="5AA31CA2" w14:textId="35AEB14A" w:rsidR="00856656" w:rsidRPr="006048E8" w:rsidRDefault="00856656" w:rsidP="00856656">
      <w:pPr>
        <w:pStyle w:val="ConsNormal"/>
        <w:widowControl/>
        <w:tabs>
          <w:tab w:val="left" w:pos="851"/>
        </w:tabs>
        <w:suppressAutoHyphens/>
        <w:ind w:firstLine="709"/>
        <w:jc w:val="both"/>
      </w:pPr>
      <w:r>
        <w:t>10.</w:t>
      </w:r>
      <w:r w:rsidRPr="006048E8">
        <w:t> </w:t>
      </w:r>
      <w:r>
        <w:t>прогноз</w:t>
      </w:r>
      <w:r w:rsidRPr="006048E8">
        <w:t xml:space="preserve"> потоков денежных средств на весь период кредитования</w:t>
      </w:r>
      <w:r>
        <w:t>;</w:t>
      </w:r>
    </w:p>
    <w:p w14:paraId="3E8E56CE" w14:textId="77777777" w:rsidR="00856656" w:rsidRPr="006048E8" w:rsidRDefault="00856656" w:rsidP="0085665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048E8">
        <w:rPr>
          <w:sz w:val="28"/>
          <w:szCs w:val="28"/>
        </w:rPr>
        <w:t>1.</w:t>
      </w:r>
      <w:r w:rsidRPr="006048E8">
        <w:rPr>
          <w:sz w:val="28"/>
          <w:szCs w:val="28"/>
        </w:rPr>
        <w:t> </w:t>
      </w:r>
      <w:r w:rsidRPr="006048E8">
        <w:rPr>
          <w:sz w:val="28"/>
          <w:szCs w:val="28"/>
        </w:rPr>
        <w:t>документ в произвольной форме о текущих судебных спорах между Кредитополучателем и третьими лицами;</w:t>
      </w:r>
    </w:p>
    <w:p w14:paraId="75A50283" w14:textId="77777777" w:rsidR="00856656" w:rsidRPr="006048E8" w:rsidRDefault="00856656" w:rsidP="0085665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6048E8">
        <w:rPr>
          <w:sz w:val="28"/>
          <w:szCs w:val="28"/>
        </w:rPr>
        <w:t>2.</w:t>
      </w:r>
      <w:r w:rsidRPr="006048E8">
        <w:rPr>
          <w:sz w:val="28"/>
          <w:szCs w:val="28"/>
        </w:rPr>
        <w:t> </w:t>
      </w:r>
      <w:r w:rsidRPr="006048E8">
        <w:rPr>
          <w:sz w:val="28"/>
          <w:szCs w:val="28"/>
        </w:rPr>
        <w:t>документы по имеющимся операциям кредитного характера (кредит, лизинг, факторинг, гарантия, заем, поручительство (залог) за третье лицо и т.п.):</w:t>
      </w:r>
    </w:p>
    <w:p w14:paraId="565E4816" w14:textId="77777777" w:rsidR="00856656" w:rsidRPr="006048E8" w:rsidRDefault="00856656" w:rsidP="00856656">
      <w:pPr>
        <w:suppressAutoHyphens/>
        <w:ind w:firstLine="709"/>
        <w:jc w:val="both"/>
        <w:rPr>
          <w:sz w:val="28"/>
          <w:szCs w:val="28"/>
        </w:rPr>
      </w:pPr>
      <w:r w:rsidRPr="006048E8">
        <w:rPr>
          <w:sz w:val="28"/>
          <w:szCs w:val="28"/>
        </w:rPr>
        <w:t>копии договоров со всеми приложениями, дополнениями и изменениями;</w:t>
      </w:r>
    </w:p>
    <w:p w14:paraId="7A004E6D" w14:textId="77777777" w:rsidR="00856656" w:rsidRPr="006048E8" w:rsidRDefault="00856656" w:rsidP="00856656">
      <w:pPr>
        <w:suppressAutoHyphens/>
        <w:ind w:firstLine="709"/>
        <w:jc w:val="both"/>
        <w:rPr>
          <w:sz w:val="28"/>
          <w:szCs w:val="28"/>
        </w:rPr>
      </w:pPr>
      <w:r w:rsidRPr="006048E8">
        <w:rPr>
          <w:sz w:val="28"/>
          <w:szCs w:val="28"/>
        </w:rPr>
        <w:t>копии договоров обеспечения исполнения обязательств со всеми приложениями, дополнениями и изменениями</w:t>
      </w:r>
      <w:r>
        <w:rPr>
          <w:sz w:val="28"/>
          <w:szCs w:val="28"/>
        </w:rPr>
        <w:t>;</w:t>
      </w:r>
    </w:p>
    <w:p w14:paraId="78CDB503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13</w:t>
      </w:r>
      <w:r w:rsidRPr="006048E8">
        <w:t>.</w:t>
      </w:r>
      <w:r w:rsidRPr="006048E8">
        <w:t> </w:t>
      </w:r>
      <w:r w:rsidRPr="006048E8">
        <w:t>выписка об оборотах по текущим счетам в белорусских рублях и иностранной валюте за последние 3 месяца, предшествующие месяцу подачи документов;</w:t>
      </w:r>
    </w:p>
    <w:p w14:paraId="06A63964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14</w:t>
      </w:r>
      <w:r w:rsidRPr="006048E8">
        <w:t>.</w:t>
      </w:r>
      <w:r w:rsidRPr="006048E8">
        <w:t> </w:t>
      </w:r>
      <w:r w:rsidRPr="006048E8">
        <w:t>документ, содержащий информацию из обслуживающего банка об отсутствии обременений по счетам</w:t>
      </w:r>
      <w:r>
        <w:t>;</w:t>
      </w:r>
    </w:p>
    <w:p w14:paraId="31F46A33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15</w:t>
      </w:r>
      <w:r w:rsidRPr="006048E8">
        <w:t>.</w:t>
      </w:r>
      <w:r w:rsidRPr="006048E8">
        <w:t> </w:t>
      </w:r>
      <w:r w:rsidRPr="006048E8">
        <w:t>в случае предоставления кредита на инвестиции: бизнес-план (технико-экономическое обоснование) инвестиционного проекта;</w:t>
      </w:r>
    </w:p>
    <w:p w14:paraId="089AFB33" w14:textId="2DBB3A9B" w:rsidR="00856656" w:rsidRPr="00B1192D" w:rsidRDefault="00856656" w:rsidP="00856656">
      <w:pPr>
        <w:suppressAutoHyphens/>
        <w:ind w:firstLine="709"/>
        <w:jc w:val="both"/>
        <w:rPr>
          <w:sz w:val="28"/>
          <w:szCs w:val="28"/>
        </w:rPr>
      </w:pPr>
      <w:r w:rsidRPr="00B1192D">
        <w:rPr>
          <w:sz w:val="28"/>
          <w:szCs w:val="28"/>
        </w:rPr>
        <w:t>16.</w:t>
      </w:r>
      <w:r w:rsidRPr="00B1192D">
        <w:rPr>
          <w:sz w:val="28"/>
          <w:szCs w:val="28"/>
        </w:rPr>
        <w:t> </w:t>
      </w:r>
      <w:r>
        <w:rPr>
          <w:sz w:val="28"/>
          <w:szCs w:val="28"/>
        </w:rPr>
        <w:t>согласие</w:t>
      </w:r>
      <w:r w:rsidRPr="00B1192D">
        <w:rPr>
          <w:sz w:val="28"/>
          <w:szCs w:val="28"/>
        </w:rPr>
        <w:t xml:space="preserve"> на получение кредитного отчета юридического лица</w:t>
      </w:r>
      <w:r>
        <w:rPr>
          <w:sz w:val="28"/>
          <w:szCs w:val="28"/>
        </w:rPr>
        <w:t>;</w:t>
      </w:r>
    </w:p>
    <w:p w14:paraId="3CA390BF" w14:textId="3785ADAC" w:rsidR="00856656" w:rsidRPr="00B1192D" w:rsidRDefault="00856656" w:rsidP="00856656">
      <w:pPr>
        <w:suppressAutoHyphens/>
        <w:ind w:firstLine="709"/>
        <w:jc w:val="both"/>
        <w:rPr>
          <w:sz w:val="28"/>
          <w:szCs w:val="28"/>
        </w:rPr>
      </w:pPr>
      <w:r w:rsidRPr="00B1192D">
        <w:rPr>
          <w:sz w:val="28"/>
          <w:szCs w:val="28"/>
        </w:rPr>
        <w:t>17. </w:t>
      </w:r>
      <w:r>
        <w:rPr>
          <w:sz w:val="28"/>
          <w:szCs w:val="28"/>
        </w:rPr>
        <w:t>согласие</w:t>
      </w:r>
      <w:r w:rsidRPr="00B1192D">
        <w:rPr>
          <w:sz w:val="28"/>
          <w:szCs w:val="28"/>
        </w:rPr>
        <w:t xml:space="preserve"> юридического лица на предоставление и получение информации о нем из информационных ресурсов, находящихся в ведении МВД и </w:t>
      </w:r>
      <w:r>
        <w:rPr>
          <w:sz w:val="28"/>
          <w:szCs w:val="28"/>
        </w:rPr>
        <w:t>Национального банка;</w:t>
      </w:r>
    </w:p>
    <w:p w14:paraId="69F4B238" w14:textId="73E4883A" w:rsidR="00856656" w:rsidRPr="00B1192D" w:rsidRDefault="00856656" w:rsidP="00856656">
      <w:pPr>
        <w:suppressAutoHyphens/>
        <w:ind w:firstLine="709"/>
        <w:jc w:val="both"/>
        <w:rPr>
          <w:sz w:val="28"/>
          <w:szCs w:val="28"/>
        </w:rPr>
      </w:pPr>
      <w:r w:rsidRPr="00B1192D">
        <w:rPr>
          <w:sz w:val="28"/>
          <w:szCs w:val="28"/>
        </w:rPr>
        <w:t>18. </w:t>
      </w:r>
      <w:r>
        <w:rPr>
          <w:sz w:val="28"/>
          <w:szCs w:val="28"/>
        </w:rPr>
        <w:t>согласие</w:t>
      </w:r>
      <w:r w:rsidRPr="00B1192D">
        <w:rPr>
          <w:sz w:val="28"/>
          <w:szCs w:val="28"/>
        </w:rPr>
        <w:t xml:space="preserve"> на получение кредитного отчета физического лица – представляют учредители, руководител</w:t>
      </w:r>
      <w:r>
        <w:rPr>
          <w:sz w:val="28"/>
          <w:szCs w:val="28"/>
        </w:rPr>
        <w:t>ь</w:t>
      </w:r>
      <w:r w:rsidRPr="00B1192D">
        <w:rPr>
          <w:sz w:val="28"/>
          <w:szCs w:val="28"/>
        </w:rPr>
        <w:t xml:space="preserve"> и главный бухгалтер;</w:t>
      </w:r>
    </w:p>
    <w:p w14:paraId="6B660F71" w14:textId="0476237B" w:rsidR="00856656" w:rsidRPr="00B1192D" w:rsidRDefault="00856656" w:rsidP="00856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192D">
        <w:rPr>
          <w:sz w:val="28"/>
          <w:szCs w:val="28"/>
        </w:rPr>
        <w:t>19. </w:t>
      </w:r>
      <w:r>
        <w:rPr>
          <w:sz w:val="28"/>
          <w:szCs w:val="28"/>
        </w:rPr>
        <w:t>согласие</w:t>
      </w:r>
      <w:r w:rsidRPr="00B1192D">
        <w:rPr>
          <w:sz w:val="28"/>
          <w:szCs w:val="28"/>
        </w:rPr>
        <w:t xml:space="preserve"> физического лица на </w:t>
      </w:r>
      <w:r w:rsidRPr="00B1192D">
        <w:rPr>
          <w:bCs/>
          <w:sz w:val="28"/>
          <w:szCs w:val="28"/>
        </w:rPr>
        <w:t xml:space="preserve">обработку </w:t>
      </w:r>
      <w:r w:rsidRPr="00B1192D">
        <w:rPr>
          <w:sz w:val="28"/>
          <w:szCs w:val="28"/>
        </w:rPr>
        <w:t>его персональных данных – представляют учредители, руководител</w:t>
      </w:r>
      <w:r>
        <w:rPr>
          <w:sz w:val="28"/>
          <w:szCs w:val="28"/>
        </w:rPr>
        <w:t>ь</w:t>
      </w:r>
      <w:r w:rsidRPr="00B1192D">
        <w:rPr>
          <w:sz w:val="28"/>
          <w:szCs w:val="28"/>
        </w:rPr>
        <w:t xml:space="preserve"> и главный бухгалтер</w:t>
      </w:r>
      <w:r>
        <w:rPr>
          <w:sz w:val="28"/>
          <w:szCs w:val="28"/>
        </w:rPr>
        <w:t>;</w:t>
      </w:r>
    </w:p>
    <w:p w14:paraId="456B60FB" w14:textId="13E04A1E" w:rsidR="00856656" w:rsidRPr="00B1192D" w:rsidRDefault="00856656" w:rsidP="00856656">
      <w:pPr>
        <w:ind w:firstLine="709"/>
        <w:jc w:val="both"/>
        <w:rPr>
          <w:sz w:val="28"/>
          <w:szCs w:val="28"/>
          <w:lang w:eastAsia="ar-SA"/>
        </w:rPr>
      </w:pPr>
      <w:r w:rsidRPr="00B1192D">
        <w:rPr>
          <w:sz w:val="28"/>
          <w:szCs w:val="28"/>
          <w:lang w:eastAsia="ar-SA"/>
        </w:rPr>
        <w:t>20.</w:t>
      </w:r>
      <w:r w:rsidRPr="00B1192D">
        <w:rPr>
          <w:sz w:val="28"/>
          <w:szCs w:val="28"/>
          <w:lang w:eastAsia="ar-SA"/>
        </w:rPr>
        <w:t> </w:t>
      </w:r>
      <w:r>
        <w:rPr>
          <w:sz w:val="28"/>
          <w:szCs w:val="28"/>
          <w:lang w:eastAsia="ar-SA"/>
        </w:rPr>
        <w:t>запрос</w:t>
      </w:r>
      <w:r w:rsidRPr="00B1192D">
        <w:rPr>
          <w:sz w:val="28"/>
          <w:szCs w:val="28"/>
          <w:lang w:eastAsia="ar-SA"/>
        </w:rPr>
        <w:t xml:space="preserve"> о наличии сведений о физическом лице в банках данных, находящихся в ведении М</w:t>
      </w:r>
      <w:r>
        <w:rPr>
          <w:sz w:val="28"/>
          <w:szCs w:val="28"/>
          <w:lang w:eastAsia="ar-SA"/>
        </w:rPr>
        <w:t>ВД,</w:t>
      </w:r>
      <w:r w:rsidRPr="00B1192D">
        <w:rPr>
          <w:sz w:val="28"/>
          <w:szCs w:val="28"/>
          <w:lang w:eastAsia="ar-SA"/>
        </w:rPr>
        <w:t xml:space="preserve"> – представляют учредители, руководител</w:t>
      </w:r>
      <w:r>
        <w:rPr>
          <w:sz w:val="28"/>
          <w:szCs w:val="28"/>
          <w:lang w:eastAsia="ar-SA"/>
        </w:rPr>
        <w:t>ь</w:t>
      </w:r>
      <w:r w:rsidRPr="00B1192D">
        <w:rPr>
          <w:sz w:val="28"/>
          <w:szCs w:val="28"/>
          <w:lang w:eastAsia="ar-SA"/>
        </w:rPr>
        <w:t xml:space="preserve"> и главный бухгалтер</w:t>
      </w:r>
      <w:r>
        <w:rPr>
          <w:sz w:val="28"/>
          <w:szCs w:val="28"/>
          <w:lang w:eastAsia="ar-SA"/>
        </w:rPr>
        <w:t>;</w:t>
      </w:r>
    </w:p>
    <w:p w14:paraId="43744BA2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 xml:space="preserve">21. пакет </w:t>
      </w:r>
      <w:r w:rsidRPr="006048E8">
        <w:t xml:space="preserve">документов для оформления поручительства </w:t>
      </w:r>
      <w:r>
        <w:t xml:space="preserve">учредителей, бенефициарных собственников и </w:t>
      </w:r>
      <w:r w:rsidRPr="006048E8">
        <w:t>руководителя Кредитополучателя (оформляется в обязательном порядке):</w:t>
      </w:r>
    </w:p>
    <w:p w14:paraId="5F866682" w14:textId="7F6C9D9C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21</w:t>
      </w:r>
      <w:r w:rsidRPr="006048E8">
        <w:t>.1.</w:t>
      </w:r>
      <w:r w:rsidRPr="006048E8">
        <w:t> </w:t>
      </w:r>
      <w:r>
        <w:t>заявление</w:t>
      </w:r>
      <w:r w:rsidRPr="006048E8">
        <w:t>-анкета Поручителя – физического лица (форма Банка);</w:t>
      </w:r>
    </w:p>
    <w:p w14:paraId="42176F34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21</w:t>
      </w:r>
      <w:r w:rsidRPr="006048E8">
        <w:t>.2.</w:t>
      </w:r>
      <w:r w:rsidRPr="006048E8">
        <w:t> </w:t>
      </w:r>
      <w:r w:rsidRPr="006048E8">
        <w:t>копии страниц паспорта, вида на жительство, где находятся фотография, реквизиты документа на русском языке (Ф.И.О., дата и место рождения, кем и когда выдан документ, срок действия, данные о регистрации);</w:t>
      </w:r>
    </w:p>
    <w:p w14:paraId="1811FFE6" w14:textId="77777777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22</w:t>
      </w:r>
      <w:r w:rsidRPr="006048E8">
        <w:t>.</w:t>
      </w:r>
      <w:r w:rsidRPr="006048E8">
        <w:t> </w:t>
      </w:r>
      <w:r>
        <w:t>пакет</w:t>
      </w:r>
      <w:r w:rsidRPr="006048E8">
        <w:t xml:space="preserve"> документов для рассмотрения и оформления обеспечения обязательств по кредиту в виде залога:</w:t>
      </w:r>
    </w:p>
    <w:p w14:paraId="0592E483" w14:textId="04E75AF8" w:rsidR="00856656" w:rsidRPr="006048E8" w:rsidRDefault="00856656" w:rsidP="00856656">
      <w:pPr>
        <w:pStyle w:val="ConsNormal"/>
        <w:widowControl/>
        <w:suppressAutoHyphens/>
        <w:ind w:firstLine="709"/>
        <w:jc w:val="both"/>
      </w:pPr>
      <w:r>
        <w:t>22</w:t>
      </w:r>
      <w:r w:rsidRPr="006048E8">
        <w:t>.1.</w:t>
      </w:r>
      <w:r w:rsidRPr="006048E8">
        <w:t> </w:t>
      </w:r>
      <w:r>
        <w:t>заявления</w:t>
      </w:r>
      <w:r w:rsidRPr="006048E8">
        <w:t>-анкета. Оформляется в случае, если в качестве Залогодателя выступает третье лицо;</w:t>
      </w:r>
    </w:p>
    <w:p w14:paraId="6F5533C7" w14:textId="77777777" w:rsidR="00856656" w:rsidRDefault="00856656" w:rsidP="00856656">
      <w:pPr>
        <w:pStyle w:val="ConsNormal"/>
        <w:ind w:firstLine="709"/>
        <w:jc w:val="both"/>
      </w:pPr>
      <w:r>
        <w:t>22</w:t>
      </w:r>
      <w:r w:rsidRPr="006048E8">
        <w:t>.2.</w:t>
      </w:r>
      <w:r w:rsidRPr="006048E8">
        <w:t> </w:t>
      </w:r>
      <w:r>
        <w:t>документы, указанные в пунктах 2-7, 16-20;</w:t>
      </w:r>
    </w:p>
    <w:p w14:paraId="32B0505B" w14:textId="681B76FF" w:rsidR="00856656" w:rsidRPr="006048E8" w:rsidRDefault="00856656" w:rsidP="00856656">
      <w:pPr>
        <w:pStyle w:val="ConsNormal"/>
        <w:ind w:firstLine="709"/>
        <w:jc w:val="both"/>
      </w:pPr>
      <w:r>
        <w:t>22.3. </w:t>
      </w:r>
      <w:r w:rsidRPr="006048E8">
        <w:t xml:space="preserve">пакет документов, предусмотренный </w:t>
      </w:r>
      <w:r>
        <w:t>локальным правовым актом Банка, регламентирующим подходы и требования к оформлению обеспечения</w:t>
      </w:r>
      <w:r w:rsidRPr="006048E8">
        <w:t xml:space="preserve"> </w:t>
      </w:r>
      <w:r>
        <w:t>клиентов Банка по операциям кредитного характера</w:t>
      </w:r>
      <w:r w:rsidRPr="006048E8">
        <w:t>.</w:t>
      </w:r>
    </w:p>
    <w:p w14:paraId="31077EAA" w14:textId="77777777" w:rsidR="00856656" w:rsidRPr="006048E8" w:rsidRDefault="00856656" w:rsidP="00856656">
      <w:pPr>
        <w:suppressAutoHyphens/>
        <w:ind w:firstLine="709"/>
        <w:jc w:val="both"/>
        <w:rPr>
          <w:sz w:val="28"/>
          <w:szCs w:val="28"/>
        </w:rPr>
      </w:pPr>
      <w:r w:rsidRPr="006048E8">
        <w:rPr>
          <w:sz w:val="28"/>
          <w:szCs w:val="28"/>
        </w:rPr>
        <w:t xml:space="preserve">Соответствие копий документов их оригиналам удостоверяется подписью руководителя и печатью (при наличии). </w:t>
      </w:r>
    </w:p>
    <w:p w14:paraId="758E3B01" w14:textId="5E1D4757" w:rsidR="00355E57" w:rsidRDefault="00355E57"/>
    <w:p w14:paraId="2446B69D" w14:textId="47D86EFD" w:rsidR="001C21FA" w:rsidRDefault="001C21FA"/>
    <w:p w14:paraId="5526C477" w14:textId="7590AF14" w:rsidR="001C21FA" w:rsidRPr="001C21FA" w:rsidRDefault="001C21FA">
      <w:pPr>
        <w:rPr>
          <w:sz w:val="28"/>
          <w:szCs w:val="28"/>
        </w:rPr>
      </w:pPr>
      <w:r w:rsidRPr="001C21FA">
        <w:rPr>
          <w:sz w:val="28"/>
          <w:szCs w:val="28"/>
        </w:rPr>
        <w:t>Контакт</w:t>
      </w:r>
      <w:r>
        <w:rPr>
          <w:sz w:val="28"/>
          <w:szCs w:val="28"/>
        </w:rPr>
        <w:t>ы</w:t>
      </w:r>
      <w:r w:rsidRPr="001C21FA">
        <w:rPr>
          <w:sz w:val="28"/>
          <w:szCs w:val="28"/>
        </w:rPr>
        <w:t xml:space="preserve">: тел. +375172701110, </w:t>
      </w:r>
      <w:r w:rsidRPr="001C21FA">
        <w:rPr>
          <w:sz w:val="28"/>
          <w:szCs w:val="28"/>
          <w:lang w:val="en-US"/>
        </w:rPr>
        <w:t>e</w:t>
      </w:r>
      <w:r w:rsidRPr="001C21FA">
        <w:rPr>
          <w:sz w:val="28"/>
          <w:szCs w:val="28"/>
        </w:rPr>
        <w:t>-</w:t>
      </w:r>
      <w:r w:rsidRPr="001C21FA">
        <w:rPr>
          <w:sz w:val="28"/>
          <w:szCs w:val="28"/>
          <w:lang w:val="en-US"/>
        </w:rPr>
        <w:t>mail</w:t>
      </w:r>
      <w:r w:rsidRPr="001C21FA">
        <w:rPr>
          <w:sz w:val="28"/>
          <w:szCs w:val="28"/>
        </w:rPr>
        <w:t xml:space="preserve">: </w:t>
      </w:r>
      <w:hyperlink r:id="rId7" w:history="1">
        <w:r w:rsidRPr="001C21FA">
          <w:rPr>
            <w:rStyle w:val="a6"/>
            <w:sz w:val="28"/>
            <w:szCs w:val="28"/>
            <w:lang w:val="en-US"/>
          </w:rPr>
          <w:t>shvetsov</w:t>
        </w:r>
        <w:r w:rsidRPr="001C21FA">
          <w:rPr>
            <w:rStyle w:val="a6"/>
            <w:sz w:val="28"/>
            <w:szCs w:val="28"/>
          </w:rPr>
          <w:t>@</w:t>
        </w:r>
        <w:r w:rsidRPr="001C21FA">
          <w:rPr>
            <w:rStyle w:val="a6"/>
            <w:sz w:val="28"/>
            <w:szCs w:val="28"/>
            <w:lang w:val="en-US"/>
          </w:rPr>
          <w:t>tcbank</w:t>
        </w:r>
        <w:r w:rsidRPr="001C21FA">
          <w:rPr>
            <w:rStyle w:val="a6"/>
            <w:sz w:val="28"/>
            <w:szCs w:val="28"/>
          </w:rPr>
          <w:t>.</w:t>
        </w:r>
        <w:r w:rsidRPr="001C21FA">
          <w:rPr>
            <w:rStyle w:val="a6"/>
            <w:sz w:val="28"/>
            <w:szCs w:val="28"/>
            <w:lang w:val="en-US"/>
          </w:rPr>
          <w:t>by</w:t>
        </w:r>
      </w:hyperlink>
      <w:r w:rsidRPr="001C21FA">
        <w:rPr>
          <w:sz w:val="28"/>
          <w:szCs w:val="28"/>
        </w:rPr>
        <w:t xml:space="preserve"> </w:t>
      </w:r>
    </w:p>
    <w:sectPr w:rsidR="001C21FA" w:rsidRPr="001C21FA" w:rsidSect="00166FA3">
      <w:pgSz w:w="11906" w:h="16838"/>
      <w:pgMar w:top="993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630C2" w14:textId="77777777" w:rsidR="004C6EFF" w:rsidRDefault="004C6EFF" w:rsidP="00305024">
      <w:r>
        <w:separator/>
      </w:r>
    </w:p>
  </w:endnote>
  <w:endnote w:type="continuationSeparator" w:id="0">
    <w:p w14:paraId="4F4B3BA0" w14:textId="77777777" w:rsidR="004C6EFF" w:rsidRDefault="004C6EFF" w:rsidP="0030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2DB5" w14:textId="77777777" w:rsidR="004C6EFF" w:rsidRDefault="004C6EFF" w:rsidP="00305024">
      <w:r>
        <w:separator/>
      </w:r>
    </w:p>
  </w:footnote>
  <w:footnote w:type="continuationSeparator" w:id="0">
    <w:p w14:paraId="120EA51C" w14:textId="77777777" w:rsidR="004C6EFF" w:rsidRDefault="004C6EFF" w:rsidP="00305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656"/>
    <w:rsid w:val="00166FA3"/>
    <w:rsid w:val="001A4EE0"/>
    <w:rsid w:val="001C21FA"/>
    <w:rsid w:val="00305024"/>
    <w:rsid w:val="00355E57"/>
    <w:rsid w:val="00476AF7"/>
    <w:rsid w:val="004B1D6A"/>
    <w:rsid w:val="004C6EFF"/>
    <w:rsid w:val="006D083B"/>
    <w:rsid w:val="00856656"/>
    <w:rsid w:val="00D82CC5"/>
    <w:rsid w:val="00DC37E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00369"/>
  <w15:chartTrackingRefBased/>
  <w15:docId w15:val="{8D92F963-D0FF-4FE3-A36D-226D40D9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8566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ConsNormal0">
    <w:name w:val="ConsNormal Знак"/>
    <w:basedOn w:val="a0"/>
    <w:link w:val="ConsNormal"/>
    <w:rsid w:val="0085665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30502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050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endnote reference"/>
    <w:basedOn w:val="a0"/>
    <w:uiPriority w:val="99"/>
    <w:semiHidden/>
    <w:unhideWhenUsed/>
    <w:rsid w:val="00305024"/>
    <w:rPr>
      <w:vertAlign w:val="superscript"/>
    </w:rPr>
  </w:style>
  <w:style w:type="character" w:styleId="a6">
    <w:name w:val="Hyperlink"/>
    <w:basedOn w:val="a0"/>
    <w:uiPriority w:val="99"/>
    <w:unhideWhenUsed/>
    <w:rsid w:val="00305024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05024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3050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vetsov@tcbank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Заполнитель1</b:Tag>
    <b:SourceType>Book</b:SourceType>
    <b:Guid>{7503C35D-7AEA-45AF-AAB1-467967E60177}</b:Guid>
    <b:RefOrder>1</b:RefOrder>
  </b:Source>
</b:Sources>
</file>

<file path=customXml/itemProps1.xml><?xml version="1.0" encoding="utf-8"?>
<ds:datastoreItem xmlns:ds="http://schemas.openxmlformats.org/officeDocument/2006/customXml" ds:itemID="{EF0688E5-0A65-4B17-A81C-FB8E3F9C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Швецов</dc:creator>
  <cp:keywords/>
  <dc:description/>
  <cp:lastModifiedBy>Денис Швецов</cp:lastModifiedBy>
  <cp:revision>7</cp:revision>
  <dcterms:created xsi:type="dcterms:W3CDTF">2021-04-26T06:54:00Z</dcterms:created>
  <dcterms:modified xsi:type="dcterms:W3CDTF">2022-10-05T12:32:00Z</dcterms:modified>
</cp:coreProperties>
</file>